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360" w:lineRule="auto"/>
        <w:jc w:val="center"/>
        <w:rPr>
          <w:rFonts w:hint="eastAsia" w:ascii="华文仿宋" w:hAnsi="华文仿宋" w:eastAsia="华文仿宋" w:cs="华文仿宋"/>
          <w:b/>
          <w:bCs/>
          <w:sz w:val="72"/>
          <w:szCs w:val="72"/>
        </w:rPr>
      </w:pP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度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72"/>
          <w:szCs w:val="72"/>
        </w:rPr>
      </w:pPr>
      <w:r>
        <w:rPr>
          <w:rFonts w:hint="eastAsia" w:ascii="宋体" w:hAnsi="宋体" w:eastAsia="宋体" w:cs="宋体"/>
          <w:b w:val="0"/>
          <w:bCs w:val="0"/>
          <w:sz w:val="72"/>
          <w:szCs w:val="72"/>
        </w:rPr>
        <w:t>部门预算公开</w:t>
      </w:r>
    </w:p>
    <w:p>
      <w:pPr>
        <w:shd w:val="clear" w:color="auto" w:fill="auto"/>
        <w:spacing w:line="360" w:lineRule="auto"/>
        <w:jc w:val="center"/>
        <w:rPr>
          <w:rFonts w:hint="eastAsia" w:ascii="宋体" w:hAnsi="宋体" w:cs="宋体"/>
          <w:b/>
          <w:bCs/>
          <w:sz w:val="72"/>
          <w:szCs w:val="72"/>
        </w:rPr>
      </w:pPr>
    </w:p>
    <w:p>
      <w:pPr>
        <w:shd w:val="clear" w:color="auto" w:fill="auto"/>
        <w:spacing w:line="580" w:lineRule="atLeast"/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eastAsia="长城小标宋体"/>
          <w:b/>
          <w:bCs/>
          <w:sz w:val="44"/>
          <w:szCs w:val="44"/>
        </w:rPr>
      </w:pP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漯河经济技术开发区管理委员会</w:t>
      </w:r>
    </w:p>
    <w:p>
      <w:pPr>
        <w:shd w:val="clear" w:color="auto" w:fill="auto"/>
        <w:spacing w:line="72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202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月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</w:rPr>
        <w:t>日</w:t>
      </w: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both"/>
        <w:rPr>
          <w:rFonts w:hint="eastAsia" w:eastAsia="长城小标宋体"/>
          <w:b/>
          <w:bCs/>
          <w:sz w:val="36"/>
          <w:szCs w:val="36"/>
        </w:rPr>
      </w:pPr>
    </w:p>
    <w:p>
      <w:pPr>
        <w:shd w:val="clear" w:color="auto" w:fill="auto"/>
        <w:spacing w:line="720" w:lineRule="exact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</w:pPr>
      <w:r>
        <w:rPr>
          <w:rFonts w:hint="eastAsia" w:ascii="宋体" w:hAnsi="宋体" w:cs="宋体"/>
          <w:b w:val="0"/>
          <w:bCs w:val="0"/>
          <w:sz w:val="44"/>
          <w:szCs w:val="44"/>
          <w:lang w:eastAsia="zh-CN"/>
        </w:rPr>
        <w:t>漯河经济技术开发区管理委员会</w:t>
      </w:r>
    </w:p>
    <w:p>
      <w:pPr>
        <w:shd w:val="clear" w:color="auto" w:fill="auto"/>
        <w:spacing w:line="720" w:lineRule="exact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  <w:lang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度部门预算公开目录</w:t>
      </w:r>
    </w:p>
    <w:p>
      <w:pPr>
        <w:shd w:val="clear" w:color="auto" w:fill="auto"/>
        <w:spacing w:line="360" w:lineRule="auto"/>
        <w:jc w:val="center"/>
        <w:rPr>
          <w:rFonts w:hint="eastAsia" w:ascii="仿宋" w:hAnsi="仿宋" w:eastAsia="仿宋" w:cs="仿宋"/>
          <w:b/>
          <w:sz w:val="44"/>
          <w:szCs w:val="44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一 、部门基本情况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（三）部门人员构成情况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sz w:val="32"/>
          <w:szCs w:val="32"/>
        </w:rPr>
        <w:t>二、部门预算情况说明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hd w:val="clear" w:color="auto" w:fill="auto"/>
        <w:spacing w:line="360" w:lineRule="auto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hd w:val="clear" w:color="auto" w:fill="auto"/>
        <w:spacing w:line="360" w:lineRule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三、 名词解释</w:t>
      </w: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附件：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202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年度部门预算公开表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</w:t>
      </w: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2024年部门收入总体情况表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7、2024年支出经济分类汇总表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、2024年一般公共预算“三公”经费支出情况表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楷体_GB2312" w:eastAsia="仿宋_GB2312"/>
          <w:bCs/>
          <w:sz w:val="32"/>
          <w:szCs w:val="32"/>
        </w:rPr>
        <w:t>、2024年政府性基金预算支出情况表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10、</w:t>
      </w:r>
      <w:r>
        <w:rPr>
          <w:rFonts w:hint="eastAsia" w:ascii="仿宋_GB2312" w:hAnsi="楷体_GB2312" w:eastAsia="仿宋_GB2312"/>
          <w:bCs/>
          <w:sz w:val="32"/>
          <w:szCs w:val="32"/>
        </w:rPr>
        <w:t>2024年项目支出表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8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11、部门（单位）整体绩效目标表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atLeast"/>
        <w:ind w:firstLine="1280" w:firstLineChars="400"/>
        <w:jc w:val="left"/>
        <w:textAlignment w:val="auto"/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楷体_GB2312" w:eastAsia="仿宋_GB2312"/>
          <w:bCs/>
          <w:sz w:val="32"/>
          <w:szCs w:val="32"/>
          <w:lang w:val="en-US" w:eastAsia="zh-CN"/>
        </w:rPr>
        <w:t>12、2024年部门预算项目绩效目标汇总表</w:t>
      </w:r>
    </w:p>
    <w:p>
      <w:pPr>
        <w:shd w:val="clear" w:color="auto" w:fill="auto"/>
        <w:spacing w:line="580" w:lineRule="atLeast"/>
        <w:ind w:firstLine="1440" w:firstLineChars="45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0" w:firstLineChars="200"/>
        <w:rPr>
          <w:rFonts w:hint="eastAsia" w:ascii="仿宋_GB2312" w:hAnsi="楷体_GB2312" w:eastAsia="仿宋_GB2312"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580" w:lineRule="atLeast"/>
        <w:ind w:firstLine="643" w:firstLineChars="200"/>
        <w:rPr>
          <w:rFonts w:hint="eastAsia" w:ascii="仿宋_GB2312" w:hAnsi="楷体_GB2312" w:eastAsia="仿宋_GB2312"/>
          <w:b/>
          <w:bCs/>
          <w:sz w:val="32"/>
          <w:szCs w:val="32"/>
        </w:rPr>
      </w:pPr>
    </w:p>
    <w:p>
      <w:pPr>
        <w:shd w:val="clear" w:color="auto" w:fill="auto"/>
        <w:spacing w:line="360" w:lineRule="auto"/>
        <w:rPr>
          <w:rFonts w:hint="eastAsia"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一、部门基本情况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（一）部门主要职责：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1.贯彻执行国家和省有关方针政策和法律法规，落实市委、市政府关于漯河经济技术开发区(以下简称开发区)发展的各项政策措施;编制开发区经济社会发展规划和计划，组织实施经批准的开发区总体规划。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2.按照规定权限审批、核准、审核、备案各类投资项目:根据权限负责开发区各类涉外事务及有关进出口行政事务。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3.根据城市总体规划、控制性详细规划和有关审批权限，负责开发区内规划建设和环境保护工作;负责辖区内公用设施、市政设施等基础设施的建设和管理。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4.负责开发区招商引资、项目落地、重大项目建设和投资服务工作。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5.负责开发区财政管理、国有资产管理、投融资体系建设:协调市政府有关部门和国家、省直属机构在开发区设立的分支机构的工作关系。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6.承担各项经济指标和社会发展统计及申报工作，并与市城乡一体化示范区、召陵区做好衔接;负责安全生产监督管理工作。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7.负责纪检监察及区内单位内部审计工作，协调配合市审计部门做好延伸审计工作。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8.积极推进开发区城乡公共服务均等化，负责辖区内社会保障、科技、文化、体育等社会事务;鼓励社会力量兴办各项社会事业，满足区内群众公共服务需求，促进城乡和谐发展。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9.负责协调管理区内民政、教育、卫生计生、交通、城乡园林绿化、农业农村、秸杆焚烧、水产渔政和菜蓝子等工作。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10.组织开发区内的各项改革工作。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11.承办市委、市政府交办的其他事项。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（二）部门机构设置情况：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漯河经济技术开发区管理委员会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属于一级预算单位，下设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个内设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年12月，漯河经济技术开发区管理委员会实有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人。其中：在职人员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人，退休人员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二、部门预算情况说明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4438.5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4438.5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年相比，收、支总计各增加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1744.9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64.78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驻区及群团经费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项目预算增加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  <w:r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  <w:t xml:space="preserve">            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4438.5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一般公共预算收入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4438.5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财政拨款收入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4438.5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非税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（政府性基金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）；国有资本经营预算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（国有资本经营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提前告知转移支付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结转结余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2D2D2D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2D2D2D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支出预算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4438.5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出1041.5万元，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23.47</w:t>
      </w:r>
      <w:r>
        <w:rPr>
          <w:rFonts w:hint="eastAsia" w:ascii="仿宋" w:hAnsi="仿宋" w:eastAsia="仿宋" w:cs="仿宋"/>
          <w:sz w:val="32"/>
          <w:szCs w:val="32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3397万元，</w:t>
      </w:r>
      <w:r>
        <w:rPr>
          <w:rFonts w:hint="eastAsia" w:ascii="仿宋" w:hAnsi="仿宋" w:eastAsia="仿宋" w:cs="仿宋"/>
          <w:sz w:val="32"/>
          <w:szCs w:val="32"/>
        </w:rPr>
        <w:t>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76.53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color w:val="666666"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666666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一般公共预算收支预算4438.5万元，政府性基金收支预算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，国有资本经营收支预算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去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1744.9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64.78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驻区及群团经费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项目预算增加。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一般公共预算支出年初预算为4438.5万元。主要用于以下方面：一般公共服务支出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4182.5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94.23%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社会保障和就业支出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4.66%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0.34%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住房保障支出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0.77%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1041.5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996</w:t>
      </w:r>
      <w:r>
        <w:rPr>
          <w:rFonts w:hint="eastAsia" w:ascii="仿宋_GB2312" w:hAnsi="宋体" w:eastAsia="仿宋_GB2312"/>
          <w:kern w:val="0"/>
          <w:sz w:val="32"/>
        </w:rPr>
        <w:t>万元，主要包括：基本工资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津贴补贴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绩效工资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机关事业单位基本养老保险缴费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职业年金缴费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职工基本医疗保险缴费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公务员医疗补助缴费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其他社会保障缴费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住房公积金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其他工资福利支出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退休费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奖励金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支出；公用经费</w:t>
      </w:r>
      <w:r>
        <w:rPr>
          <w:rFonts w:hint="eastAsia" w:ascii="仿宋_GB2312" w:hAnsi="宋体" w:eastAsia="仿宋_GB2312"/>
          <w:kern w:val="0"/>
          <w:sz w:val="32"/>
          <w:lang w:val="en-US" w:eastAsia="zh-CN"/>
        </w:rPr>
        <w:t>45.5</w:t>
      </w:r>
      <w:r>
        <w:rPr>
          <w:rFonts w:hint="eastAsia" w:ascii="仿宋_GB2312" w:hAnsi="宋体" w:eastAsia="仿宋_GB2312"/>
          <w:kern w:val="0"/>
          <w:sz w:val="32"/>
        </w:rPr>
        <w:t>万元，主要包括：办公费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印刷费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工会经费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福利费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、</w:t>
      </w:r>
      <w:r>
        <w:rPr>
          <w:rFonts w:hint="eastAsia" w:ascii="仿宋_GB2312" w:hAnsi="宋体" w:eastAsia="仿宋_GB2312"/>
          <w:kern w:val="0"/>
          <w:sz w:val="32"/>
        </w:rPr>
        <w:t>其他交通费用</w:t>
      </w:r>
      <w:r>
        <w:rPr>
          <w:rFonts w:hint="eastAsia" w:ascii="仿宋_GB2312" w:hAnsi="宋体" w:eastAsia="仿宋_GB2312"/>
          <w:kern w:val="0"/>
          <w:sz w:val="32"/>
          <w:lang w:eastAsia="zh-CN"/>
        </w:rPr>
        <w:t>等</w:t>
      </w:r>
      <w:r>
        <w:rPr>
          <w:rFonts w:hint="eastAsia" w:ascii="仿宋_GB2312" w:hAnsi="宋体" w:eastAsia="仿宋_GB2312"/>
          <w:kern w:val="0"/>
          <w:sz w:val="32"/>
        </w:rPr>
        <w:t>支出。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“三公”经费预算为0万元，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与去年持平</w:t>
      </w:r>
      <w:r>
        <w:rPr>
          <w:rFonts w:hint="eastAsia" w:ascii="仿宋" w:hAnsi="仿宋" w:eastAsia="仿宋" w:cs="仿宋"/>
          <w:sz w:val="32"/>
          <w:szCs w:val="32"/>
        </w:rPr>
        <w:t>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</w:t>
      </w:r>
      <w:r>
        <w:rPr>
          <w:rFonts w:hint="eastAsia" w:ascii="仿宋" w:hAnsi="仿宋" w:eastAsia="仿宋" w:cs="仿宋"/>
          <w:sz w:val="32"/>
          <w:szCs w:val="32"/>
        </w:rPr>
        <w:t>三公经费支出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，故未安排三公经费预算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公出国出境事务，故未安排此项预算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年持平；公务用车运行维护费0万元，与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去</w:t>
      </w:r>
      <w:r>
        <w:rPr>
          <w:rFonts w:hint="eastAsia" w:ascii="仿宋" w:hAnsi="仿宋" w:eastAsia="仿宋" w:cs="仿宋"/>
          <w:sz w:val="32"/>
          <w:szCs w:val="32"/>
        </w:rPr>
        <w:t>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：按照上级有关文件要求，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我区严控公务用车购置及运行</w:t>
      </w:r>
      <w:r>
        <w:rPr>
          <w:rFonts w:hint="eastAsia" w:ascii="仿宋" w:hAnsi="仿宋" w:eastAsia="仿宋" w:cs="仿宋"/>
          <w:sz w:val="32"/>
          <w:szCs w:val="32"/>
        </w:rPr>
        <w:t>费支出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我单位不存在公务接待事务，故未安排此项预算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我部门没有政府性基金预算收支，故未编列。</w:t>
      </w:r>
    </w:p>
    <w:p>
      <w:pPr>
        <w:keepNext w:val="0"/>
        <w:keepLines w:val="0"/>
        <w:pageBreakBefore w:val="0"/>
        <w:numPr>
          <w:ilvl w:val="0"/>
          <w:numId w:val="0"/>
        </w:numPr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九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国有资本经营预算情况说明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我部门没有国有资本经营预算收支，故未编列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）社会保险基金预算情况说明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（十一）其他重要事项的情况说明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（1）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运转类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经费支出预算情况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105.5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办公费、印刷费、邮电费、差旅费、维修(护)费、工会经费、福利费、其他交通费用等。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（2）政府采购支出预算情况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 w:cs="仿宋"/>
          <w:sz w:val="32"/>
          <w:szCs w:val="32"/>
        </w:rPr>
        <w:t>政府采购预算共安排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sz w:val="32"/>
          <w:szCs w:val="32"/>
        </w:rPr>
        <w:t>万元（办公设备购置预算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200</w:t>
      </w:r>
      <w:r>
        <w:rPr>
          <w:rFonts w:hint="eastAsia" w:ascii="仿宋" w:hAnsi="仿宋" w:eastAsia="仿宋" w:cs="仿宋"/>
          <w:sz w:val="32"/>
          <w:szCs w:val="32"/>
        </w:rPr>
        <w:t>万元、信息网络及软件购置0万元）、政府采购工程预算0万元、政府采购服务预算0万元。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（3）重点项目预算的绩效目标等情况说明</w:t>
      </w:r>
      <w:bookmarkStart w:id="0" w:name="_GoBack"/>
      <w:bookmarkEnd w:id="0"/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4个，涉及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拨款3397万元（含中央省提前告知转移支付资金0万元）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国有资产占用情况说明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年末，我部门共有车辆0辆，其中：一般公务用车0辆、一</w:t>
      </w:r>
      <w:r>
        <w:rPr>
          <w:rFonts w:hint="eastAsia" w:ascii="仿宋_GB2312" w:hAnsi="仿宋_GB2312" w:eastAsia="仿宋_GB2312" w:cs="仿宋_GB2312"/>
          <w:sz w:val="32"/>
          <w:szCs w:val="32"/>
        </w:rPr>
        <w:t>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（5）转移支付预算情况说明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负责管理的专项转移支付项目共有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、绩效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等相关工作。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三、名词解释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keepNext w:val="0"/>
        <w:keepLines w:val="0"/>
        <w:pageBreakBefore w:val="0"/>
        <w:widowControl/>
        <w:shd w:val="clear" w:color="auto" w:fill="auto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keepNext w:val="0"/>
        <w:keepLines w:val="0"/>
        <w:pageBreakBefore w:val="0"/>
        <w:shd w:val="clear" w:color="auto" w:fill="auto"/>
        <w:wordWrap/>
        <w:topLinePunct w:val="0"/>
        <w:autoSpaceDE/>
        <w:autoSpaceDN/>
        <w:bidi w:val="0"/>
        <w:spacing w:before="0" w:beforeLines="0" w:after="0" w:afterLines="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shd w:val="clear" w:color="auto" w:fill="auto"/>
        <w:kinsoku w:val="0"/>
        <w:overflowPunct w:val="0"/>
        <w:adjustRightInd w:val="0"/>
        <w:snapToGrid w:val="0"/>
        <w:spacing w:line="5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5MzJhMGE3Mzg0NDA1MDA0YzQzMWI4ZGFiNWE0NzkifQ=="/>
  </w:docVars>
  <w:rsids>
    <w:rsidRoot w:val="00000000"/>
    <w:rsid w:val="00FC3E1B"/>
    <w:rsid w:val="05F3123D"/>
    <w:rsid w:val="06EC66E0"/>
    <w:rsid w:val="0E4F7C80"/>
    <w:rsid w:val="10A37D41"/>
    <w:rsid w:val="10C75C45"/>
    <w:rsid w:val="11C20769"/>
    <w:rsid w:val="13426597"/>
    <w:rsid w:val="15787ABD"/>
    <w:rsid w:val="18575207"/>
    <w:rsid w:val="1934019F"/>
    <w:rsid w:val="1BAF7FB0"/>
    <w:rsid w:val="1DEF2253"/>
    <w:rsid w:val="22B814DB"/>
    <w:rsid w:val="22F6534C"/>
    <w:rsid w:val="23673F12"/>
    <w:rsid w:val="24B94F4B"/>
    <w:rsid w:val="2967011C"/>
    <w:rsid w:val="2C6C38DF"/>
    <w:rsid w:val="31076AE0"/>
    <w:rsid w:val="32B64B7A"/>
    <w:rsid w:val="35B8313B"/>
    <w:rsid w:val="37E8117F"/>
    <w:rsid w:val="38C6627D"/>
    <w:rsid w:val="3CB708C4"/>
    <w:rsid w:val="3D347D63"/>
    <w:rsid w:val="3F6525B0"/>
    <w:rsid w:val="40556833"/>
    <w:rsid w:val="450E5498"/>
    <w:rsid w:val="466761B5"/>
    <w:rsid w:val="4D924EB8"/>
    <w:rsid w:val="4E465DE4"/>
    <w:rsid w:val="4E9F2F14"/>
    <w:rsid w:val="531D3476"/>
    <w:rsid w:val="54CF69F2"/>
    <w:rsid w:val="56DA0230"/>
    <w:rsid w:val="592D1F39"/>
    <w:rsid w:val="62CB71DD"/>
    <w:rsid w:val="651421FF"/>
    <w:rsid w:val="65C50B86"/>
    <w:rsid w:val="68595EE4"/>
    <w:rsid w:val="691C6622"/>
    <w:rsid w:val="693410C2"/>
    <w:rsid w:val="6A90072A"/>
    <w:rsid w:val="6B62453E"/>
    <w:rsid w:val="6FA741D1"/>
    <w:rsid w:val="70770B8F"/>
    <w:rsid w:val="73010738"/>
    <w:rsid w:val="75070AFC"/>
    <w:rsid w:val="75AB2CB8"/>
    <w:rsid w:val="776B3F01"/>
    <w:rsid w:val="7993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2024-03-04T09:06:00Z</dcterms:created>
  <dc:creator>HiWin11</dc:creator>
  <cp:lastModifiedBy>Hoze.</cp:lastModifiedBy>
  <dcterms:modified xsi:type="dcterms:W3CDTF">2024-03-07T07:38:02Z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