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湘江路小学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湘江路小学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湘江路小学属于事业单位，主要职责是实施小学义务教育和小学学历教育，促进基础教育发展。规范办学行为，提升教师的专业素养，家校共育，提升家教水平。深入推进课堂教学改革，严格按照课程标准开展教学，提高课堂教学质量。减轻学生过重课外负担，培养学生学习兴趣、学习习惯。坚持立德树人的办学思想，创造适合学生的教育，培养“健康快乐、阳光自信、习惯良好、兴趣广泛、人格健全”全面发展的学生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漯河经济技术开发区湘江路小学属于一级预算单位，下设教导处、德育处，总务处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三个内设科室，无二级预算单位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年12月，漯河经济技术开发区湘江路小学实有4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color w:val="2D2D2D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11.3 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在职人员薪级增加，社保类增加，又新进一位教师，固导致收支比去年增加。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595.6万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595.6万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595.6万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元，提前告知转移支付0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元，结转结余0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元，非税收入0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元）；政府性基金预算收入0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元（政府性基金收入0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元，提前告知转移支付0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元，结转结余0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元）；国有资本经营预算收入0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元（国有资本经营收入0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元，提前告知转移支付0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元，结转结余0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48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部门支出预算总体情况说明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595.6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出577万元，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96.9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增加60.6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增加11.3 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在职人员薪级增加，社保类增加，又新进一位教师，固导致收支比去年增加。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448.6万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75.3</w:t>
      </w:r>
      <w:r>
        <w:rPr>
          <w:rFonts w:hint="eastAsia" w:ascii="仿宋_GB2312" w:hAnsi="仿宋_GB2312" w:eastAsia="仿宋_GB2312" w:cs="仿宋_GB2312"/>
          <w:sz w:val="32"/>
          <w:szCs w:val="32"/>
        </w:rPr>
        <w:t>%;社会保障和就业支出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元，占年初预算的1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sz w:val="32"/>
          <w:szCs w:val="32"/>
        </w:rPr>
        <w:t>%;卫生健康支出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元，占年初预算的2.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%;住房保障支出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561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16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我部门没有政府性基金收支预算，故未编列。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  <w:bookmarkStart w:id="0" w:name="_GoBack"/>
      <w:bookmarkEnd w:id="0"/>
    </w:p>
    <w:p>
      <w:pPr>
        <w:keepNext w:val="0"/>
        <w:keepLines w:val="0"/>
        <w:pageBreakBefore w:val="0"/>
        <w:numPr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我部门没有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国有资本经营预算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收支，故未编列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拨款18.6万元（含中央省提前告知转移支付资金0万元）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年无提前下</w:t>
      </w:r>
      <w:r>
        <w:rPr>
          <w:rFonts w:hint="eastAsia" w:ascii="仿宋" w:hAnsi="仿宋" w:eastAsia="仿宋"/>
          <w:sz w:val="32"/>
        </w:rPr>
        <w:t>达的转移支付项目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32E26"/>
    <w:multiLevelType w:val="singleLevel"/>
    <w:tmpl w:val="6BD32E26"/>
    <w:lvl w:ilvl="0" w:tentative="0">
      <w:start w:val="3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7C019DD2"/>
    <w:multiLevelType w:val="singleLevel"/>
    <w:tmpl w:val="7C019DD2"/>
    <w:lvl w:ilvl="0" w:tentative="0">
      <w:start w:val="9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4918B1"/>
    <w:rsid w:val="06EC66E0"/>
    <w:rsid w:val="0D0D3811"/>
    <w:rsid w:val="0E4F7C80"/>
    <w:rsid w:val="10A37D41"/>
    <w:rsid w:val="11C20769"/>
    <w:rsid w:val="13426597"/>
    <w:rsid w:val="15787ABD"/>
    <w:rsid w:val="18575207"/>
    <w:rsid w:val="1934019F"/>
    <w:rsid w:val="1BAF7FB0"/>
    <w:rsid w:val="1DEF2253"/>
    <w:rsid w:val="22B814DB"/>
    <w:rsid w:val="22F6534C"/>
    <w:rsid w:val="23673F12"/>
    <w:rsid w:val="24B94F4B"/>
    <w:rsid w:val="2967011C"/>
    <w:rsid w:val="2C6C38DF"/>
    <w:rsid w:val="2D1C7470"/>
    <w:rsid w:val="2D944555"/>
    <w:rsid w:val="314222B1"/>
    <w:rsid w:val="323446FA"/>
    <w:rsid w:val="35B8313B"/>
    <w:rsid w:val="37E8117F"/>
    <w:rsid w:val="38C6627D"/>
    <w:rsid w:val="3D347D63"/>
    <w:rsid w:val="3F6525B0"/>
    <w:rsid w:val="450E5498"/>
    <w:rsid w:val="4D924EB8"/>
    <w:rsid w:val="4E465DE4"/>
    <w:rsid w:val="4E9F2F14"/>
    <w:rsid w:val="4FEE5732"/>
    <w:rsid w:val="531D3476"/>
    <w:rsid w:val="54CF69F2"/>
    <w:rsid w:val="56DA0230"/>
    <w:rsid w:val="592D1F39"/>
    <w:rsid w:val="62CB71DD"/>
    <w:rsid w:val="651421FF"/>
    <w:rsid w:val="68595EE4"/>
    <w:rsid w:val="691C6622"/>
    <w:rsid w:val="693410C2"/>
    <w:rsid w:val="69B31FE7"/>
    <w:rsid w:val="6A90072A"/>
    <w:rsid w:val="6D7B3C4F"/>
    <w:rsid w:val="6FA741D1"/>
    <w:rsid w:val="73010738"/>
    <w:rsid w:val="75AB2CB8"/>
    <w:rsid w:val="776B3F01"/>
    <w:rsid w:val="79933E56"/>
    <w:rsid w:val="7A074B46"/>
    <w:rsid w:val="7A92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2024-03-05T07:04:59Z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4691D260132F476AB534B2E5BCCEC050_13</vt:lpwstr>
  </property>
</Properties>
</file>